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00" w:rsidRDefault="009077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07700" w:rsidRDefault="00907700">
      <w:pPr>
        <w:pStyle w:val="ConsPlusNormal"/>
        <w:jc w:val="both"/>
        <w:outlineLvl w:val="0"/>
      </w:pPr>
    </w:p>
    <w:p w:rsidR="00907700" w:rsidRDefault="009077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7700" w:rsidRDefault="00907700">
      <w:pPr>
        <w:pStyle w:val="ConsPlusTitle"/>
        <w:jc w:val="center"/>
      </w:pPr>
    </w:p>
    <w:p w:rsidR="00907700" w:rsidRDefault="00907700">
      <w:pPr>
        <w:pStyle w:val="ConsPlusTitle"/>
        <w:jc w:val="center"/>
      </w:pPr>
      <w:r>
        <w:t>ПОСТАНОВЛЕНИЕ</w:t>
      </w:r>
    </w:p>
    <w:p w:rsidR="00907700" w:rsidRDefault="00907700">
      <w:pPr>
        <w:pStyle w:val="ConsPlusTitle"/>
        <w:jc w:val="center"/>
      </w:pPr>
      <w:r>
        <w:t>от 11 февраля 2021 г. N 161</w:t>
      </w:r>
    </w:p>
    <w:p w:rsidR="00907700" w:rsidRDefault="00907700">
      <w:pPr>
        <w:pStyle w:val="ConsPlusTitle"/>
        <w:jc w:val="center"/>
      </w:pPr>
    </w:p>
    <w:p w:rsidR="00907700" w:rsidRDefault="00907700">
      <w:pPr>
        <w:pStyle w:val="ConsPlusTitle"/>
        <w:jc w:val="center"/>
      </w:pPr>
      <w:r>
        <w:t>ОБ УТВЕРЖДЕНИИ ТРЕБОВАНИЙ</w:t>
      </w:r>
    </w:p>
    <w:p w:rsidR="00907700" w:rsidRDefault="00907700">
      <w:pPr>
        <w:pStyle w:val="ConsPlusTitle"/>
        <w:jc w:val="center"/>
      </w:pPr>
      <w:r>
        <w:t>К РЕГИОНАЛЬНЫМ И МУНИЦИПАЛЬНЫМ ПРОГРАММАМ В ОБЛАСТИ</w:t>
      </w:r>
    </w:p>
    <w:p w:rsidR="00907700" w:rsidRDefault="00907700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907700" w:rsidRDefault="00907700">
      <w:pPr>
        <w:pStyle w:val="ConsPlusTitle"/>
        <w:jc w:val="center"/>
      </w:pPr>
      <w:r>
        <w:t>И О ПРИЗНАНИИ УТРАТИВШИМИ СИЛУ НЕКОТОРЫХ АКТОВ</w:t>
      </w:r>
    </w:p>
    <w:p w:rsidR="00907700" w:rsidRDefault="00907700">
      <w:pPr>
        <w:pStyle w:val="ConsPlusTitle"/>
        <w:jc w:val="center"/>
      </w:pPr>
      <w:r>
        <w:t>ПРАВИТЕЛЬСТВА РОССИЙСКОЙ ФЕДЕРАЦИИ И ОТДЕЛЬНЫХ</w:t>
      </w:r>
    </w:p>
    <w:p w:rsidR="00907700" w:rsidRDefault="00907700">
      <w:pPr>
        <w:pStyle w:val="ConsPlusTitle"/>
        <w:jc w:val="center"/>
      </w:pPr>
      <w:r>
        <w:t>ПОЛОЖЕНИЙ НЕКОТОРЫХ АКТОВ ПРАВИТЕЛЬСТВА</w:t>
      </w:r>
    </w:p>
    <w:p w:rsidR="00907700" w:rsidRDefault="00907700">
      <w:pPr>
        <w:pStyle w:val="ConsPlusTitle"/>
        <w:jc w:val="center"/>
      </w:pPr>
      <w:r>
        <w:t>РОССИЙСКОЙ ФЕДЕРАЦИИ</w:t>
      </w: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14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требования</w:t>
        </w:r>
      </w:hyperlink>
      <w:r>
        <w:t xml:space="preserve"> к региональным и муниципальным программам в области энергосбережения и повышения энергетической эффективности.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 xml:space="preserve">2. Министерству экономического развития Российской Федерации по согласованию с Министерством строительства и жилищно-коммунального хозяйства Российской Федерации и Министерством энергетики Российской Федерации до 1 мая 2021 г. утвердить </w:t>
      </w:r>
      <w:hyperlink r:id="rId6">
        <w:r>
          <w:rPr>
            <w:color w:val="0000FF"/>
          </w:rPr>
          <w:t>методику</w:t>
        </w:r>
      </w:hyperlink>
      <w:r>
        <w:t xml:space="preserve">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 xml:space="preserve">4. Признать утратившими силу акты Правительства Российской Федерации и отдельные положения актов Правительства Российской Федерации по </w:t>
      </w:r>
      <w:hyperlink w:anchor="P169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jc w:val="right"/>
      </w:pPr>
      <w:r>
        <w:t>Председатель Правительства</w:t>
      </w:r>
    </w:p>
    <w:p w:rsidR="00907700" w:rsidRDefault="00907700">
      <w:pPr>
        <w:pStyle w:val="ConsPlusNormal"/>
        <w:jc w:val="right"/>
      </w:pPr>
      <w:r>
        <w:t>Российской Федерации</w:t>
      </w:r>
    </w:p>
    <w:p w:rsidR="00907700" w:rsidRDefault="00907700">
      <w:pPr>
        <w:pStyle w:val="ConsPlusNormal"/>
        <w:jc w:val="right"/>
      </w:pPr>
      <w:r>
        <w:t>М.МИШУСТИН</w:t>
      </w: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jc w:val="right"/>
        <w:outlineLvl w:val="0"/>
      </w:pPr>
      <w:r>
        <w:t>Утверждены</w:t>
      </w:r>
    </w:p>
    <w:p w:rsidR="00907700" w:rsidRDefault="00907700">
      <w:pPr>
        <w:pStyle w:val="ConsPlusNormal"/>
        <w:jc w:val="right"/>
      </w:pPr>
      <w:r>
        <w:t>постановлением Правительства</w:t>
      </w:r>
    </w:p>
    <w:p w:rsidR="00907700" w:rsidRDefault="00907700">
      <w:pPr>
        <w:pStyle w:val="ConsPlusNormal"/>
        <w:jc w:val="right"/>
      </w:pPr>
      <w:r>
        <w:t>Российской Федерации</w:t>
      </w:r>
    </w:p>
    <w:p w:rsidR="00907700" w:rsidRDefault="00907700">
      <w:pPr>
        <w:pStyle w:val="ConsPlusNormal"/>
        <w:jc w:val="right"/>
      </w:pPr>
      <w:r>
        <w:t>от 11 февраля 2021 г. N 161</w:t>
      </w: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Title"/>
        <w:jc w:val="center"/>
      </w:pPr>
      <w:bookmarkStart w:id="0" w:name="P34"/>
      <w:bookmarkEnd w:id="0"/>
      <w:r>
        <w:lastRenderedPageBreak/>
        <w:t>ТРЕБОВАНИЯ</w:t>
      </w:r>
    </w:p>
    <w:p w:rsidR="00907700" w:rsidRDefault="00907700">
      <w:pPr>
        <w:pStyle w:val="ConsPlusTitle"/>
        <w:jc w:val="center"/>
      </w:pPr>
      <w:r>
        <w:t>К РЕГИОНАЛЬНЫМ И МУНИЦИПАЛЬНЫМ ПРОГРАММАМ В ОБЛАСТИ</w:t>
      </w:r>
    </w:p>
    <w:p w:rsidR="00907700" w:rsidRDefault="00907700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ind w:firstLine="540"/>
        <w:jc w:val="both"/>
      </w:pPr>
      <w:r>
        <w:t>1. Настоящий документ устанавливает требования к региональным программам и муниципальным программам в области энергосбережения и повышения энергетической эффективности (далее - программы), включающим комплекс мероприятий по энергосбережению и повышению энергетической эффективности, взаимосвязанных по задачам, срокам осуществления, исполнителям и ресурсам, обеспечивающих наиболее эффективное достижение целей и решение задач, направленных на энергосбережение и повышение энергетической эффективности в субъекте Российской Федерации или в муниципальном образовании.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2. При разработке программ обеспечивается принцип согласованности и сбалансированности программ, разрабатываемых на уровне субъектов Российской Федерации, муниципальных образований и документов стратегического планирования, согласованности деятельности органов государственной власти Российской Федерации и органов государственной власти субъектов Российской Федерации в области энергосбережения и повышения энергетической эффективности.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3. При разработке программ обеспечивается их увязка с действующими на уровне субъектов Российской Федерации, муниципальных образований программами в области развития жилищно-коммунального хозяйства, капитального ремонта жилых и (или) многоквартирных домов.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4. Разработка и реализация программ осуществляются последовательно с учетом результатов реализации ранее принятых документов стратегического планирования, содержащих мероприятия в области энергосбережения и повышения энергетической эффективности, а также в области развития жилищно-коммунального хозяйства, капитального ремонта жилых и (или) многоквартирных домов, и с учетом этапов реализации указанных документов стратегического планирования.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5. Программы должны быть сбалансированы по приоритетам, целям, задачам, мероприятиям, показателям, финансовым и иным ресурсам и срокам реализации.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6. Выбор способов и методов достижения целей развития энергосбережения и повышения энергетической эффективности должен основываться на необходимости достижения заданных результатов (целевых показателей) при наименьших затратах ресурсов.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7. При определении целей и задач развития энергосбережения и повышения энергетической эффективности необходимо исходить из возможности достижения целей и решения задач в установленные сроки с учетом наличия необходимых ресурсов и возможных рисков.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8. При разработке и утверждении программ должны быть определены источники финансового и иного ресурсного обеспечения мероприятий, предусмотренных этими программами.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9. При разработке программ должна быть обеспечена возможность оценки достижения целей развития энергосбережения и повышения энергетической эффективности с использованием количественных и (или) качественных целевых показателей, критериев и методов их оценки.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10. Программы должны содержать: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а) анализ тенденций и проблем в сфере энергосбережения и повышения энергетической эффективности на территории субъекта Российской Федерации или муниципального образования;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lastRenderedPageBreak/>
        <w:t>б) цели, задачи и приоритеты развития энергосбережения и повышения энергетической эффективности на территории субъекта Российской Федерации или муниципального образования;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в) основные направления развития энергосбережения и повышения энергетической эффективности на территории субъекта Российской Федерации или муниципального образования;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г)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таких мероприятий в соответствии с настоящим документом;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д)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е) информацию об источниках финансирования мероприятий с указанием отдельно бюджетных (при их наличии) и внебюджетных (при их наличии) источников финансирования таких мероприятий.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11. Муниципальные программы в области энергосбережения и повышения энергетической эффективности могут включать в себя мероприятия в области энергосбережения и повышения энергетической эффективности: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а) содержащиеся в программах организаций, осуществляющих свою деятельность на территории муниципального образования;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б) содержащиеся в программах организаций, осуществляющих регулируемые виды деятельности, если цены (тарифы) на товары, услуги таких организаций подлежат установлению органами местного самоуправления;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в) содержащиеся в программах организаций с участием государства или муниципального образования, государственных (муниципальных) учреждений, реализация которых обеспечит достижение потенциала снижения потребления энергетических ресурсов.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12. Мероприятия по энергосбережению и повышению энергетической эффективности формируются с указанием ожидаемых результатов, сроков их выполнения, с учетом возможностей их финансирования за счет бюджетных и внебюджетных средств, средств, полученных с применением регулируемых цен (тарифов), а также с учетом получения согласования собственников имущества, в отношении которого они планируются, в случае если необходимость соответствующего согласования предусмотрена законодательством Российской Федерации.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13. Перечень мероприятий по энергосбережению и повышению энергетической эффективности, подлежащих включению в программы в обязательном порядке, должен включать в себя мероприятия:</w:t>
      </w:r>
    </w:p>
    <w:p w:rsidR="00907700" w:rsidRDefault="00907700">
      <w:pPr>
        <w:pStyle w:val="ConsPlusNormal"/>
        <w:spacing w:before="220"/>
        <w:ind w:firstLine="540"/>
        <w:jc w:val="both"/>
      </w:pPr>
      <w:bookmarkStart w:id="1" w:name="P60"/>
      <w:bookmarkEnd w:id="1"/>
      <w:r>
        <w:t>а)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б) по энергосбережению и повышению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 xml:space="preserve">в)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</w:t>
      </w:r>
      <w:r>
        <w:lastRenderedPageBreak/>
        <w:t>хозяйства;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г)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д)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е)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ж)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з) по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и)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907700" w:rsidRDefault="00907700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к) по иным вопросам, определенным органом государственной власти субъекта Российской Федерации, органом местного самоуправления;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 xml:space="preserve">л) по информационному обеспечению указанных в </w:t>
      </w:r>
      <w:hyperlink w:anchor="P60">
        <w:r>
          <w:rPr>
            <w:color w:val="0000FF"/>
          </w:rPr>
          <w:t>подпунктах "а"</w:t>
        </w:r>
      </w:hyperlink>
      <w:r>
        <w:t xml:space="preserve"> - </w:t>
      </w:r>
      <w:hyperlink w:anchor="P69">
        <w:r>
          <w:rPr>
            <w:color w:val="0000FF"/>
          </w:rPr>
          <w:t>"к"</w:t>
        </w:r>
      </w:hyperlink>
      <w:r>
        <w:t xml:space="preserve"> 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14. Примерный перечень иных мероприятий по энергосбережению и повышению энергетической эффективности, которые могут быть дополнительно включены в программы: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а) мероприятия, проведение которых возможно с использованием внебюджетных средств, полученных также с применением регулируемых цен (тарифов);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б) мероприятия по учету в инвестиционных и производственных программах производителей электрической и тепловой энергии, электросетевых организаций, теплосетевых организаций, организаций, осуществляющих водоснабжение и водоотведение,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 xml:space="preserve">в) мероприятия в области регулирования цен (тарифов), направленные на стимулирование </w:t>
      </w:r>
      <w:r>
        <w:lastRenderedPageBreak/>
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г) 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а также проведение энергетических обследований;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д) мероприятия по модернизации оборудования, используемого для выработки электрической 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е) мероприятия, направленные на снижение потребления энергетических ресурсов на собственные нужды;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ж) мероприятия по сокращению потерь электрической энергии, тепловой энергии при их передаче;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з) мероприятия по сокращению объемов электрической энергии, используемой при передаче (транспортировке) воды;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и) мероприятия по сокращению потерь воды при ее передаче;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к) мероприятия по обучению в области энергосбережения и повышения энергетической эффективности;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л) 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15. В программы также могут дополнительно включаться мероприятия, предусмотренные примерным перечнем мероприятий в области энергосбережения и повышения энергетической эффективности, утвержденным уполномоченным федеральным органом исполнительной власти.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16. Целевые показатели в области энергосбережения и повышения энергетической эффективности (далее - целевые показатели), содержащиеся в программах и дополнительно вводимые при их корректировке, а также при оценке эффективности деятельности органов исполнительной власти субъектов Российской Федерации и органов местного самоуправления, должны соответствовать целям развития энергосбережения и повышения энергетической эффективности и обеспечивать возможность оценки экономического эффекта от реализации программ.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Значения целевых показателей должны отражать: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а) повышение эффективности использования энергетических ресурсов в жилищном фонде;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lastRenderedPageBreak/>
        <w:t>б) повышение эффективности использования энергетических ресурсов в системах коммунальной инфраструктуры;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в) сокращение потерь энергетических ресурсов при их передаче, в том числе в системах коммунальной инфраструктуры;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г) повышение уровня оснащенности приборами учета используемых энергетических ресурсов;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ж) сокращение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власти субъектов Российской Федерации,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использования энергетических ресурсов в указанных сферах;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з) увеличение объема внебюджетных средств, используемых на финансирование мероприятий.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17.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программ, осуществляется уполномоченным органом исполнительной власти субъекта Российской Федерации, органом местного самоуправления в соответствии с методикой расчета значений таких показателей, утвержденной уполномоченным федеральным органом исполнительной власти.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18. Планируемые и фактически достигнутые в ходе реализации программ значения целевых показателей формируются за отчетный календарный год (с 1 января по 31 декабря) и рассчитываются для каждого года на протяжении всего срока реализации программ.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19. Целевые показатели, предусматриваемые программами,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как отношение количества объектов, оснащенных приборами учета, к общему количеству таких объектов, подключенных к электрическим сетям централизованного электроснабжения, и (или) централизованного теплоснабжения, и (или) централизованного водоснабжения, и (или) централизованного газоснабжения.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lastRenderedPageBreak/>
        <w:t>При расчете значений целевых показателей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или муниципального образования.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20. К обязательным целевым показателям для включения в региональные муниципальные программы в области энергосбережения и повышения энергетической эффективности относятся: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а) целевые показатели, характеризующие оснащенность приборами учета используемых энергетических ресурсов;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б)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в) целевые показатели в государственном секторе;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г) целевые показатели в жилищном фонде;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д) целевые показатели в промышленности, энергетике и системах коммунальной инфраструктуры;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е) целевые показатели в транспортном комплексе.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21. К целевым показателям, характеризующим оснащенность приборами учета используемых энергетических ресурсов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а) 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б) 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в) 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(процентов).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22. К целевым показателям, характеризующим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а) 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 xml:space="preserve">б) ввод мощностей генерирующих объектов, функционирующих на основе использования </w:t>
      </w:r>
      <w:r>
        <w:lastRenderedPageBreak/>
        <w:t>возобновляемых источников энергии (без учета гидроэлектростанций установленной мощностью свыше 25 МВт (МВт).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23. К целевым показателям, характеризующим потребление энергетических ресурсов в государственных (муниципальных) организациях, находящихся в ведении органов государственной власти субъекта Российской Федерации (органов местного самоуправления)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а) удельный расход тепловой энергии зданиями и помещениями учебно-воспитательного назначения (Гкал/м</w:t>
      </w:r>
      <w:r>
        <w:rPr>
          <w:vertAlign w:val="superscript"/>
        </w:rPr>
        <w:t>2</w:t>
      </w:r>
      <w:r>
        <w:t>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б) удельный расход электрической энергии зданиями и помещениями учебно-воспитательного назначения (кВт·ч/м</w:t>
      </w:r>
      <w:r>
        <w:rPr>
          <w:vertAlign w:val="superscript"/>
        </w:rPr>
        <w:t>2</w:t>
      </w:r>
      <w:r>
        <w:t>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в) удельный расход тепловой энергии зданиями и помещениями здравоохранения и социального обслуживания населения (Гкал/м</w:t>
      </w:r>
      <w:r>
        <w:rPr>
          <w:vertAlign w:val="superscript"/>
        </w:rPr>
        <w:t>2</w:t>
      </w:r>
      <w:r>
        <w:t>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г) удельный расход электрической энергии зданиями и помещениями здравоохранения и социального обслуживания населения (кВт·ч/м</w:t>
      </w:r>
      <w:r>
        <w:rPr>
          <w:vertAlign w:val="superscript"/>
        </w:rPr>
        <w:t>2</w:t>
      </w:r>
      <w:r>
        <w:t>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д) 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</w:r>
      <w:r>
        <w:rPr>
          <w:vertAlign w:val="superscript"/>
        </w:rPr>
        <w:t>3</w:t>
      </w:r>
      <w:r>
        <w:t>, Гкал, кВт·ч).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24. К целевым показателям, характеризующим использование энергетических ресурсов в жилищно-коммунальном хозяйстве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а) доля многоквартирных домов, имеющих класс энергетической эффективности "B" и выше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б) удельный расход тепловой энергии в многоквартирных домах (Гкал/м</w:t>
      </w:r>
      <w:r>
        <w:rPr>
          <w:vertAlign w:val="superscript"/>
        </w:rPr>
        <w:t>2</w:t>
      </w:r>
      <w:r>
        <w:t>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в) удельный расход электрической энергии в многоквартирных домах (кВт·ч/м</w:t>
      </w:r>
      <w:r>
        <w:rPr>
          <w:vertAlign w:val="superscript"/>
        </w:rPr>
        <w:t>2</w:t>
      </w:r>
      <w:r>
        <w:t>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г) удельный расход холодной воды в многоквартирных домах (в расчете на 1 жителя) (куб. м/чел);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д) удельный расход горячей воды в многоквартирных домах (в расчете на 1 жителя) (куб. м/чел).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25. К целевым показателям, характеризующим использование энергетических ресурсов в промышленности, энергетике и системах коммунальной инфраструктуры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а)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 в сфере промышленного производства (т. ут/ед. продукции);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б) удельный расход топлива на отпуск электрической энергии тепловыми электростанциями (г. ут/кВт·ч);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lastRenderedPageBreak/>
        <w:t>в) удельный расход топлива на отпущенную тепловую энергию с коллекторов тепловых электростанций (кг. ут/Гкал);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г) удельный расход топлива на отпущенную с коллекторов котельных в тепловую сеть тепловую энергию (кг. ут/Гкал);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д) доля потерь электрической энергии при ее передаче по распределительным сетям в общем объеме переданной электрической энергии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е) доля потерь тепловой энергии при ее передаче в общем объеме переданной тепловой энергии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ж) доля энергоэффективных источников света в системах уличного освещения (процентов).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26. К целевым показателям, характеризующим использование энергетических ресурсов в транспортном комплексе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а)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 (муниципальным образованием) (единиц);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б)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 (муниципальным образованием) (единиц);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в) количество транспортных средств (включая легковые электромобили)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г) количество электромобилей легковых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д) 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субъекта Российской Федерации (муниципального образования) (единиц).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27. По решению органа государственной власти субъекта Российской Федерации, органа местного самоуправления при разработке программ в области энергосбережения и повышения энергетической эффективности могут устанавливаться следующие дополнительные целевые показатели: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а) количество энергосервисных договоров (контрактов), заключенных органами государственной власти субъекта Российской Федерации (органами местного самоуправления), государственными (муниципальными) учреждениями, находящимися в ведении органов государственной власти субъекта Российской Федерации (органов местного самоуправления),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указанного субъекта Российской Федерации (муниципального образования) (единиц);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lastRenderedPageBreak/>
        <w:t>б) объем субсидий организациям коммунального комплекса на приобретение топлива, субсидий гражданам на внесение платы за коммунальные услуги из бюджета соответствующего уровня (тыс. рублей);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в) 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субъекта Российской Федерации (муниципального образования)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г)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 (муниципального образования)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д)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 (муниципального образования)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е)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 (муниципального образования)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ж)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 (муниципального образования)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з)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 (муниципального образования)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и)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 (муниципального образования);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к) удельный расход тепловой энергии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кв. метр общей площади);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л) удельный расход электрической энергии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кв. метр общей площади);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м) удельный расход холодной воды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человека);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н) удельный расход горячей воды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человека);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 xml:space="preserve">о) удельный расход природного газа на снабжение органов государственной власти субъекта Российской Федерации (органов местного самоуправления) и государственных </w:t>
      </w:r>
      <w:r>
        <w:lastRenderedPageBreak/>
        <w:t>учреждений субъекта Российской Федерации (муниципальных учреждений муниципального образования) (в расчете на 1 человека);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п) доля потерь воды в централизованных системах водоснабжения при транспортировке в общем объеме воды, поданной в водопроводную сеть (процентов);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р) удельное количество тепловой энергии, расходуемое на подогрев горячей воды (Гкал/куб. м);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с) 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(кВт·ч/куб. м);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т)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(кВт·ч/куб. м);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у) удельный расход электрической энергии, потребляемой в технологическом процессе очистки сточных вод, на единицу объема очищаемых сточных вод (кВт·ч/куб. м);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>ф)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(кВт·ч/куб. м).</w:t>
      </w: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jc w:val="right"/>
        <w:outlineLvl w:val="0"/>
      </w:pPr>
      <w:r>
        <w:t>Приложение</w:t>
      </w:r>
    </w:p>
    <w:p w:rsidR="00907700" w:rsidRDefault="00907700">
      <w:pPr>
        <w:pStyle w:val="ConsPlusNormal"/>
        <w:jc w:val="right"/>
      </w:pPr>
      <w:r>
        <w:t>к постановлению Правительства</w:t>
      </w:r>
    </w:p>
    <w:p w:rsidR="00907700" w:rsidRDefault="00907700">
      <w:pPr>
        <w:pStyle w:val="ConsPlusNormal"/>
        <w:jc w:val="right"/>
      </w:pPr>
      <w:r>
        <w:t>Российской Федерации</w:t>
      </w:r>
    </w:p>
    <w:p w:rsidR="00907700" w:rsidRDefault="00907700">
      <w:pPr>
        <w:pStyle w:val="ConsPlusNormal"/>
        <w:jc w:val="right"/>
      </w:pPr>
      <w:r>
        <w:t>от 11 февраля 2021 г. N 161</w:t>
      </w: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Title"/>
        <w:jc w:val="center"/>
      </w:pPr>
      <w:bookmarkStart w:id="3" w:name="P169"/>
      <w:bookmarkEnd w:id="3"/>
      <w:r>
        <w:t>ПЕРЕЧЕНЬ</w:t>
      </w:r>
    </w:p>
    <w:p w:rsidR="00907700" w:rsidRDefault="00907700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907700" w:rsidRDefault="00907700">
      <w:pPr>
        <w:pStyle w:val="ConsPlusTitle"/>
        <w:jc w:val="center"/>
      </w:pPr>
      <w:r>
        <w:t>И ОТДЕЛЬНЫХ ПОЛОЖЕНИЙ АКТОВ ПРАВИТЕЛЬСТВА</w:t>
      </w:r>
    </w:p>
    <w:p w:rsidR="00907700" w:rsidRDefault="00907700">
      <w:pPr>
        <w:pStyle w:val="ConsPlusTitle"/>
        <w:jc w:val="center"/>
      </w:pPr>
      <w:r>
        <w:t>РОССИЙСКОЙ ФЕДЕРАЦИИ</w:t>
      </w: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2009 г. N 1225 "О требованиях к региональным и муниципальным программам в области энергосбережения и повышения энергетической эффективности" (Собрание законодательства Российской Федерации, 2010, N 6, ст. 645).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Пункт 32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декабря 2010 г. N 1045 "Об изменении и признании утратившими силу некоторых актов Правительства Российской Федерации" (Собрание законодательства Российской Федерации, 2010, N 52, ст. 7104).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 xml:space="preserve">3.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июля 2013 г. N 593 "О внесении изменений в некоторые акты Правительства Российской Федерации" (Собрание законодательства Российской Федерации, 2013, N 29, ст. 3970).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 xml:space="preserve">4.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июля 2013 г. N 615 "О внесении изменений в приложение N 2 к постановлению Правительства Российской Федерации от 31 декабря 2009 г. N 1225" (Собрание законодательства Российской Федерации, 2013, N 30, ст. 4122).</w:t>
      </w:r>
    </w:p>
    <w:p w:rsidR="00907700" w:rsidRDefault="00907700">
      <w:pPr>
        <w:pStyle w:val="ConsPlusNormal"/>
        <w:spacing w:before="220"/>
        <w:ind w:firstLine="540"/>
        <w:jc w:val="both"/>
      </w:pPr>
      <w:r>
        <w:t xml:space="preserve">5. </w:t>
      </w:r>
      <w:hyperlink r:id="rId11">
        <w:r>
          <w:rPr>
            <w:color w:val="0000FF"/>
          </w:rPr>
          <w:t>Пункт 61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марта 2014 г. N 230 "О </w:t>
      </w:r>
      <w:r>
        <w:lastRenderedPageBreak/>
        <w:t>внесении изменений в некоторые акты Правительства Российской Федерации" (Собрание законодательства Российской Федерации, 2014, N 14, ст. 1627).</w:t>
      </w: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jc w:val="both"/>
      </w:pPr>
    </w:p>
    <w:p w:rsidR="00907700" w:rsidRDefault="009077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6FB" w:rsidRDefault="007346FB"/>
    <w:sectPr w:rsidR="007346FB" w:rsidSect="00F4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07700"/>
    <w:rsid w:val="007346FB"/>
    <w:rsid w:val="0090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7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77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77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4155D1A10A0D61626FA71FF8D033587F27C3920436810A4D534430B6670047A23C29FA043E0400FF516E254B8A15B2B1ACB3697A0437x83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D4155D1A10A0D61626FA71FF8D0335B7323C19A0B36810A4D534430B6670055A26425F803200C03EA073F63x13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D4155D1A10A0D61626FA71FF8D033597F21C3920536810A4D534430B6670047A23C29FA043E0C0CFF516E254B8A15B2B1ACB3697A0437x83BI" TargetMode="External"/><Relationship Id="rId11" Type="http://schemas.openxmlformats.org/officeDocument/2006/relationships/hyperlink" Target="consultantplus://offline/ref=B7FD4155D1A10A0D61626FA71FF8D033597325C9930936810A4D534430B6670047A23C29FA043F0D03FF516E254B8A15B2B1ACB3697A0437x83BI" TargetMode="External"/><Relationship Id="rId5" Type="http://schemas.openxmlformats.org/officeDocument/2006/relationships/hyperlink" Target="consultantplus://offline/ref=B7FD4155D1A10A0D61626FA71FF8D0335E7225C0930A36810A4D534430B6670047A23C2CFA0F6A5D41A1083D66008711ABADACB7x734I" TargetMode="External"/><Relationship Id="rId10" Type="http://schemas.openxmlformats.org/officeDocument/2006/relationships/hyperlink" Target="consultantplus://offline/ref=B7FD4155D1A10A0D61626FA71FF8D0335B722AC99F0536810A4D534430B6670055A26425F803200C03EA073F63x13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FD4155D1A10A0D61626FA71FF8D033597724C19A0D36810A4D534430B6670055A26425F803200C03EA073F63x1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5037</Words>
  <Characters>28716</Characters>
  <Application>Microsoft Office Word</Application>
  <DocSecurity>0</DocSecurity>
  <Lines>239</Lines>
  <Paragraphs>67</Paragraphs>
  <ScaleCrop>false</ScaleCrop>
  <Company/>
  <LinksUpToDate>false</LinksUpToDate>
  <CharactersWithSpaces>33686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kcpr11</dc:creator>
  <cp:lastModifiedBy>kcpr11</cp:lastModifiedBy>
  <cp:revision>1</cp:revision>
  <dcterms:created xsi:type="dcterms:W3CDTF">2023-06-27T08:55:00Z</dcterms:created>
  <dcterms:modified xsi:type="dcterms:W3CDTF">2023-06-27T08:56:00Z</dcterms:modified>
</cp:coreProperties>
</file>